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41D" w:rsidRDefault="006E7D83" w:rsidP="00F2141D">
      <w:pPr>
        <w:jc w:val="center"/>
        <w:rPr>
          <w:b/>
          <w:sz w:val="40"/>
        </w:rPr>
      </w:pPr>
      <w:r w:rsidRPr="00A86E92">
        <w:rPr>
          <w:b/>
          <w:noProof/>
          <w:sz w:val="40"/>
          <w:lang w:eastAsia="de-DE"/>
        </w:rPr>
        <mc:AlternateContent>
          <mc:Choice Requires="wps">
            <w:drawing>
              <wp:anchor distT="0" distB="0" distL="114300" distR="114300" simplePos="0" relativeHeight="251659264" behindDoc="0" locked="0" layoutInCell="1" allowOverlap="1" wp14:anchorId="05EC7C33" wp14:editId="5C656952">
                <wp:simplePos x="0" y="0"/>
                <wp:positionH relativeFrom="column">
                  <wp:posOffset>1161415</wp:posOffset>
                </wp:positionH>
                <wp:positionV relativeFrom="paragraph">
                  <wp:posOffset>-829472</wp:posOffset>
                </wp:positionV>
                <wp:extent cx="3394710" cy="46164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4710" cy="46164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F2141D" w:rsidRDefault="00F2141D" w:rsidP="00F2141D">
                            <w:pPr>
                              <w:pStyle w:val="StandardWeb"/>
                              <w:kinsoku w:val="0"/>
                              <w:overflowPunct w:val="0"/>
                              <w:spacing w:before="0" w:beforeAutospacing="0" w:after="0" w:afterAutospacing="0"/>
                              <w:jc w:val="center"/>
                              <w:textAlignment w:val="baseline"/>
                            </w:pPr>
                            <w:r>
                              <w:rPr>
                                <w:rFonts w:ascii="Calibri" w:eastAsia="Calibri" w:hAnsi="Calibri"/>
                                <w:color w:val="000000" w:themeColor="text1"/>
                                <w:kern w:val="24"/>
                              </w:rPr>
                              <w:t>Tutorium Dokumentationsfunktion der Bilanzierung</w:t>
                            </w:r>
                          </w:p>
                          <w:p w:rsidR="00F2141D" w:rsidRDefault="00BD7B14" w:rsidP="00FC4B42">
                            <w:pPr>
                              <w:pStyle w:val="StandardWeb"/>
                              <w:kinsoku w:val="0"/>
                              <w:overflowPunct w:val="0"/>
                              <w:spacing w:before="0" w:beforeAutospacing="0" w:after="0" w:afterAutospacing="0"/>
                              <w:jc w:val="center"/>
                              <w:textAlignment w:val="baseline"/>
                              <w:rPr>
                                <w:rFonts w:ascii="Calibri" w:eastAsia="Calibri" w:hAnsi="Calibri"/>
                                <w:color w:val="000000"/>
                                <w:kern w:val="24"/>
                              </w:rPr>
                            </w:pPr>
                            <w:r>
                              <w:rPr>
                                <w:rFonts w:ascii="Calibri" w:eastAsia="Calibri" w:hAnsi="Calibri"/>
                                <w:color w:val="000000"/>
                                <w:kern w:val="24"/>
                              </w:rPr>
                              <w:t>Wintersemester</w:t>
                            </w:r>
                            <w:r w:rsidR="00FC057B">
                              <w:rPr>
                                <w:rFonts w:ascii="Calibri" w:eastAsia="Calibri" w:hAnsi="Calibri"/>
                                <w:color w:val="000000"/>
                                <w:kern w:val="24"/>
                              </w:rPr>
                              <w:t xml:space="preserve"> 2019</w:t>
                            </w:r>
                            <w:r>
                              <w:rPr>
                                <w:rFonts w:ascii="Calibri" w:eastAsia="Calibri" w:hAnsi="Calibri"/>
                                <w:color w:val="000000"/>
                                <w:kern w:val="24"/>
                              </w:rPr>
                              <w:t>/2020</w:t>
                            </w:r>
                          </w:p>
                          <w:p w:rsidR="002F67F7" w:rsidRDefault="002F67F7" w:rsidP="002F67F7">
                            <w:pPr>
                              <w:pStyle w:val="StandardWeb"/>
                              <w:kinsoku w:val="0"/>
                              <w:overflowPunct w:val="0"/>
                              <w:spacing w:before="0" w:beforeAutospacing="0" w:after="0" w:afterAutospacing="0"/>
                              <w:textAlignment w:val="baseline"/>
                            </w:pPr>
                          </w:p>
                        </w:txbxContent>
                      </wps:txbx>
                      <wps:bodyPr vert="horz" wrap="none" lIns="91440" tIns="45720" rIns="91440" bIns="45720" numCol="1" anchor="ctr" anchorCtr="0" compatLnSpc="1">
                        <a:prstTxWarp prst="textNoShape">
                          <a:avLst/>
                        </a:prstTxWarp>
                        <a:spAutoFit/>
                      </wps:bodyPr>
                    </wps:wsp>
                  </a:graphicData>
                </a:graphic>
              </wp:anchor>
            </w:drawing>
          </mc:Choice>
          <mc:Fallback>
            <w:pict>
              <v:rect w14:anchorId="05EC7C33" id="Rectangle 1" o:spid="_x0000_s1026" style="position:absolute;left:0;text-align:left;margin-left:91.45pt;margin-top:-65.3pt;width:267.3pt;height:36.35pt;z-index:2516592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" filled="f" fillcolor="#4f81bd [3204]" stroked="f" strokecolor="black [3213]">
                <v:shadow color="#eeece1 [3214]"/>
                <v:textbox style="mso-fit-shape-to-text:t">
                  <w:txbxContent>
                    <w:p w:rsidR="00F2141D" w:rsidRDefault="00F2141D" w:rsidP="00F2141D">
                      <w:pPr>
                        <w:pStyle w:val="StandardWeb"/>
                        <w:kinsoku w:val="0"/>
                        <w:overflowPunct w:val="0"/>
                        <w:spacing w:before="0" w:beforeAutospacing="0" w:after="0" w:afterAutospacing="0"/>
                        <w:jc w:val="center"/>
                        <w:textAlignment w:val="baseline"/>
                      </w:pPr>
                      <w:r>
                        <w:rPr>
                          <w:rFonts w:ascii="Calibri" w:eastAsia="Calibri" w:hAnsi="Calibri"/>
                          <w:color w:val="000000" w:themeColor="text1"/>
                          <w:kern w:val="24"/>
                        </w:rPr>
                        <w:t>Tutorium Dokumentationsfunktion der Bilanzierung</w:t>
                      </w:r>
                    </w:p>
                    <w:p w:rsidR="00F2141D" w:rsidRDefault="00BD7B14" w:rsidP="00FC4B42">
                      <w:pPr>
                        <w:pStyle w:val="StandardWeb"/>
                        <w:kinsoku w:val="0"/>
                        <w:overflowPunct w:val="0"/>
                        <w:spacing w:before="0" w:beforeAutospacing="0" w:after="0" w:afterAutospacing="0"/>
                        <w:jc w:val="center"/>
                        <w:textAlignment w:val="baseline"/>
                        <w:rPr>
                          <w:rFonts w:ascii="Calibri" w:eastAsia="Calibri" w:hAnsi="Calibri"/>
                          <w:color w:val="000000"/>
                          <w:kern w:val="24"/>
                        </w:rPr>
                      </w:pPr>
                      <w:r>
                        <w:rPr>
                          <w:rFonts w:ascii="Calibri" w:eastAsia="Calibri" w:hAnsi="Calibri"/>
                          <w:color w:val="000000"/>
                          <w:kern w:val="24"/>
                        </w:rPr>
                        <w:t>Wintersemester</w:t>
                      </w:r>
                      <w:r w:rsidR="00FC057B">
                        <w:rPr>
                          <w:rFonts w:ascii="Calibri" w:eastAsia="Calibri" w:hAnsi="Calibri"/>
                          <w:color w:val="000000"/>
                          <w:kern w:val="24"/>
                        </w:rPr>
                        <w:t xml:space="preserve"> 2019</w:t>
                      </w:r>
                      <w:r>
                        <w:rPr>
                          <w:rFonts w:ascii="Calibri" w:eastAsia="Calibri" w:hAnsi="Calibri"/>
                          <w:color w:val="000000"/>
                          <w:kern w:val="24"/>
                        </w:rPr>
                        <w:t>/2020</w:t>
                      </w:r>
                    </w:p>
                    <w:p w:rsidR="002F67F7" w:rsidRDefault="002F67F7" w:rsidP="002F67F7">
                      <w:pPr>
                        <w:pStyle w:val="StandardWeb"/>
                        <w:kinsoku w:val="0"/>
                        <w:overflowPunct w:val="0"/>
                        <w:spacing w:before="0" w:beforeAutospacing="0" w:after="0" w:afterAutospacing="0"/>
                        <w:textAlignment w:val="baseline"/>
                      </w:pPr>
                    </w:p>
                  </w:txbxContent>
                </v:textbox>
              </v:rect>
            </w:pict>
          </mc:Fallback>
        </mc:AlternateContent>
      </w:r>
      <w:r w:rsidRPr="00A86E92">
        <w:rPr>
          <w:b/>
          <w:noProof/>
          <w:sz w:val="40"/>
          <w:lang w:eastAsia="de-DE"/>
        </w:rPr>
        <mc:AlternateContent>
          <mc:Choice Requires="wps">
            <w:drawing>
              <wp:anchor distT="0" distB="0" distL="114300" distR="114300" simplePos="0" relativeHeight="251660288" behindDoc="0" locked="0" layoutInCell="1" allowOverlap="1" wp14:anchorId="60269823" wp14:editId="43A7581F">
                <wp:simplePos x="0" y="0"/>
                <wp:positionH relativeFrom="column">
                  <wp:posOffset>-999328</wp:posOffset>
                </wp:positionH>
                <wp:positionV relativeFrom="paragraph">
                  <wp:posOffset>-601980</wp:posOffset>
                </wp:positionV>
                <wp:extent cx="8100695" cy="0"/>
                <wp:effectExtent l="0" t="0" r="14605" b="19050"/>
                <wp:wrapNone/>
                <wp:docPr id="6" name="Gerader Verbinder 5"/>
                <wp:cNvGraphicFramePr/>
                <a:graphic xmlns:a="http://schemas.openxmlformats.org/drawingml/2006/main">
                  <a:graphicData uri="http://schemas.microsoft.com/office/word/2010/wordprocessingShape">
                    <wps:wsp>
                      <wps:cNvCnPr/>
                      <wps:spPr>
                        <a:xfrm>
                          <a:off x="0" y="0"/>
                          <a:ext cx="810069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2C90B8B" id="Gerader Verbinder 5"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8.7pt,-47.4pt" to="559.1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" strokecolor="#7f7f7f [1612]"/>
            </w:pict>
          </mc:Fallback>
        </mc:AlternateContent>
      </w:r>
      <w:r w:rsidR="00F2141D">
        <w:rPr>
          <w:b/>
          <w:sz w:val="40"/>
        </w:rPr>
        <w:t>Aufgabe 4</w:t>
      </w:r>
    </w:p>
    <w:p w:rsidR="006E7D83" w:rsidRDefault="006E7D83" w:rsidP="00F2141D">
      <w:pPr>
        <w:jc w:val="center"/>
        <w:rPr>
          <w:b/>
          <w:sz w:val="40"/>
        </w:rPr>
      </w:pPr>
    </w:p>
    <w:p w:rsidR="0018003A" w:rsidRDefault="00A62857" w:rsidP="00A62857">
      <w:pPr>
        <w:pStyle w:val="Listenabsatz"/>
        <w:numPr>
          <w:ilvl w:val="0"/>
          <w:numId w:val="1"/>
        </w:numPr>
        <w:rPr>
          <w:sz w:val="28"/>
        </w:rPr>
      </w:pPr>
      <w:r>
        <w:rPr>
          <w:sz w:val="28"/>
        </w:rPr>
        <w:t>Begriffsdefinitionen</w:t>
      </w:r>
    </w:p>
    <w:p w:rsidR="00A62857" w:rsidRPr="00A62857" w:rsidRDefault="00A62857" w:rsidP="00A62857">
      <w:pPr>
        <w:rPr>
          <w:sz w:val="28"/>
        </w:rPr>
      </w:pPr>
    </w:p>
    <w:p w:rsidR="00F2141D" w:rsidRPr="0018003A" w:rsidRDefault="00F2141D" w:rsidP="00A62857">
      <w:pPr>
        <w:spacing w:line="360" w:lineRule="auto"/>
        <w:rPr>
          <w:sz w:val="24"/>
          <w:szCs w:val="20"/>
        </w:rPr>
      </w:pPr>
      <w:r w:rsidRPr="0018003A">
        <w:rPr>
          <w:sz w:val="24"/>
          <w:szCs w:val="20"/>
        </w:rPr>
        <w:t>BGA:</w:t>
      </w:r>
      <w:bookmarkStart w:id="0" w:name="_GoBack"/>
      <w:bookmarkEnd w:id="0"/>
    </w:p>
    <w:p w:rsidR="00F2141D" w:rsidRPr="0018003A" w:rsidRDefault="00F2141D" w:rsidP="00A62857">
      <w:pPr>
        <w:spacing w:line="360" w:lineRule="auto"/>
        <w:rPr>
          <w:sz w:val="24"/>
          <w:szCs w:val="20"/>
        </w:rPr>
      </w:pPr>
      <w:r w:rsidRPr="0018003A">
        <w:rPr>
          <w:sz w:val="24"/>
          <w:szCs w:val="20"/>
        </w:rPr>
        <w:t>Inventar:</w:t>
      </w:r>
    </w:p>
    <w:p w:rsidR="00F2141D" w:rsidRPr="0018003A" w:rsidRDefault="00F2141D" w:rsidP="00A62857">
      <w:pPr>
        <w:spacing w:line="360" w:lineRule="auto"/>
        <w:rPr>
          <w:sz w:val="24"/>
          <w:szCs w:val="20"/>
        </w:rPr>
      </w:pPr>
      <w:r w:rsidRPr="0018003A">
        <w:rPr>
          <w:sz w:val="24"/>
          <w:szCs w:val="20"/>
        </w:rPr>
        <w:t>Inventur:</w:t>
      </w:r>
    </w:p>
    <w:p w:rsidR="00F2141D" w:rsidRPr="0018003A" w:rsidRDefault="00F2141D" w:rsidP="00A62857">
      <w:pPr>
        <w:spacing w:line="360" w:lineRule="auto"/>
        <w:rPr>
          <w:sz w:val="24"/>
          <w:szCs w:val="20"/>
        </w:rPr>
      </w:pPr>
      <w:r w:rsidRPr="0018003A">
        <w:rPr>
          <w:sz w:val="24"/>
          <w:szCs w:val="20"/>
        </w:rPr>
        <w:t>Immaterielle Vermögensgegenstände:</w:t>
      </w:r>
    </w:p>
    <w:p w:rsidR="00F2141D" w:rsidRPr="0018003A" w:rsidRDefault="0018003A" w:rsidP="00A62857">
      <w:pPr>
        <w:spacing w:line="360" w:lineRule="auto"/>
        <w:rPr>
          <w:sz w:val="24"/>
          <w:szCs w:val="20"/>
        </w:rPr>
      </w:pPr>
      <w:r w:rsidRPr="0018003A">
        <w:rPr>
          <w:sz w:val="24"/>
          <w:szCs w:val="20"/>
        </w:rPr>
        <w:t>Ja</w:t>
      </w:r>
      <w:r w:rsidR="00D24A7E" w:rsidRPr="0018003A">
        <w:rPr>
          <w:sz w:val="24"/>
          <w:szCs w:val="20"/>
        </w:rPr>
        <w:t>hresabschluss</w:t>
      </w:r>
      <w:r w:rsidR="00F2141D" w:rsidRPr="0018003A">
        <w:rPr>
          <w:sz w:val="24"/>
          <w:szCs w:val="20"/>
        </w:rPr>
        <w:t>:</w:t>
      </w:r>
    </w:p>
    <w:p w:rsidR="00F2141D" w:rsidRPr="0018003A" w:rsidRDefault="00F2141D" w:rsidP="00A62857">
      <w:pPr>
        <w:spacing w:line="360" w:lineRule="auto"/>
        <w:rPr>
          <w:sz w:val="24"/>
          <w:szCs w:val="20"/>
        </w:rPr>
      </w:pPr>
      <w:r w:rsidRPr="0018003A">
        <w:rPr>
          <w:sz w:val="24"/>
          <w:szCs w:val="20"/>
        </w:rPr>
        <w:t>Finanzanlagen:</w:t>
      </w:r>
    </w:p>
    <w:p w:rsidR="00F2141D" w:rsidRPr="0018003A" w:rsidRDefault="00F2141D" w:rsidP="00A62857">
      <w:pPr>
        <w:spacing w:line="360" w:lineRule="auto"/>
        <w:rPr>
          <w:sz w:val="24"/>
          <w:szCs w:val="20"/>
        </w:rPr>
      </w:pPr>
      <w:r w:rsidRPr="0018003A">
        <w:rPr>
          <w:sz w:val="24"/>
          <w:szCs w:val="20"/>
        </w:rPr>
        <w:t>Forderungen:</w:t>
      </w:r>
    </w:p>
    <w:p w:rsidR="00F2141D" w:rsidRPr="0018003A" w:rsidRDefault="00F2141D" w:rsidP="00A62857">
      <w:pPr>
        <w:spacing w:line="360" w:lineRule="auto"/>
        <w:rPr>
          <w:sz w:val="24"/>
          <w:szCs w:val="20"/>
        </w:rPr>
      </w:pPr>
      <w:r w:rsidRPr="0018003A">
        <w:rPr>
          <w:sz w:val="24"/>
          <w:szCs w:val="20"/>
        </w:rPr>
        <w:t>Fertige Erzeugnisse und Waren:</w:t>
      </w:r>
    </w:p>
    <w:p w:rsidR="00F2141D" w:rsidRPr="0018003A" w:rsidRDefault="00F2141D" w:rsidP="00A62857">
      <w:pPr>
        <w:spacing w:line="360" w:lineRule="auto"/>
        <w:rPr>
          <w:sz w:val="24"/>
          <w:szCs w:val="20"/>
        </w:rPr>
      </w:pPr>
      <w:r w:rsidRPr="0018003A">
        <w:rPr>
          <w:sz w:val="24"/>
          <w:szCs w:val="20"/>
        </w:rPr>
        <w:t>Grundstücke:</w:t>
      </w:r>
    </w:p>
    <w:p w:rsidR="00F2141D" w:rsidRDefault="00B92EE1" w:rsidP="00A62857">
      <w:pPr>
        <w:spacing w:line="360" w:lineRule="auto"/>
        <w:rPr>
          <w:sz w:val="24"/>
          <w:szCs w:val="20"/>
        </w:rPr>
      </w:pPr>
      <w:r w:rsidRPr="0018003A">
        <w:rPr>
          <w:sz w:val="24"/>
          <w:szCs w:val="20"/>
        </w:rPr>
        <w:t>Gewinn- und Verlustrechnung:</w:t>
      </w:r>
    </w:p>
    <w:p w:rsidR="00623C4F" w:rsidRDefault="00623C4F" w:rsidP="00A62857">
      <w:pPr>
        <w:spacing w:line="360" w:lineRule="auto"/>
        <w:rPr>
          <w:sz w:val="24"/>
        </w:rPr>
      </w:pPr>
      <w:r w:rsidRPr="007809DC">
        <w:rPr>
          <w:sz w:val="24"/>
        </w:rPr>
        <w:t>Realisationsprinzip:</w:t>
      </w:r>
    </w:p>
    <w:p w:rsidR="006E2704" w:rsidRDefault="006E2704" w:rsidP="00A62857">
      <w:pPr>
        <w:spacing w:line="360" w:lineRule="auto"/>
        <w:rPr>
          <w:sz w:val="24"/>
        </w:rPr>
      </w:pPr>
      <w:r>
        <w:rPr>
          <w:sz w:val="24"/>
        </w:rPr>
        <w:t>Imparitätsprinzip:</w:t>
      </w:r>
    </w:p>
    <w:p w:rsidR="00623C4F" w:rsidRPr="007809DC" w:rsidRDefault="00623C4F" w:rsidP="00A62857">
      <w:pPr>
        <w:spacing w:line="360" w:lineRule="auto"/>
        <w:rPr>
          <w:sz w:val="24"/>
        </w:rPr>
      </w:pPr>
      <w:r w:rsidRPr="007809DC">
        <w:rPr>
          <w:sz w:val="24"/>
        </w:rPr>
        <w:t>Niederstwertprinzip:</w:t>
      </w:r>
    </w:p>
    <w:p w:rsidR="00623C4F" w:rsidRPr="00623C4F" w:rsidRDefault="00623C4F" w:rsidP="00A62857">
      <w:pPr>
        <w:spacing w:line="360" w:lineRule="auto"/>
        <w:rPr>
          <w:sz w:val="24"/>
        </w:rPr>
      </w:pPr>
      <w:r w:rsidRPr="007809DC">
        <w:rPr>
          <w:sz w:val="24"/>
        </w:rPr>
        <w:t>Höchstwertprinzip:</w:t>
      </w:r>
    </w:p>
    <w:p w:rsidR="00F2141D" w:rsidRPr="0018003A" w:rsidRDefault="00F2141D" w:rsidP="00A62857">
      <w:pPr>
        <w:spacing w:line="360" w:lineRule="auto"/>
        <w:rPr>
          <w:sz w:val="24"/>
          <w:szCs w:val="20"/>
        </w:rPr>
      </w:pPr>
      <w:r w:rsidRPr="0018003A">
        <w:rPr>
          <w:sz w:val="24"/>
          <w:szCs w:val="20"/>
        </w:rPr>
        <w:t>Technische Anlagen und Maschinen (TAM):</w:t>
      </w:r>
    </w:p>
    <w:p w:rsidR="00F2141D" w:rsidRPr="0018003A" w:rsidRDefault="00F2141D" w:rsidP="00A62857">
      <w:pPr>
        <w:spacing w:line="360" w:lineRule="auto"/>
        <w:rPr>
          <w:sz w:val="24"/>
          <w:szCs w:val="20"/>
        </w:rPr>
      </w:pPr>
      <w:r w:rsidRPr="0018003A">
        <w:rPr>
          <w:sz w:val="24"/>
          <w:szCs w:val="20"/>
        </w:rPr>
        <w:t>Vorräte:</w:t>
      </w:r>
    </w:p>
    <w:p w:rsidR="0018003A" w:rsidRPr="0018003A" w:rsidRDefault="0018003A" w:rsidP="00A62857">
      <w:pPr>
        <w:spacing w:line="360" w:lineRule="auto"/>
        <w:rPr>
          <w:sz w:val="24"/>
          <w:szCs w:val="20"/>
        </w:rPr>
      </w:pPr>
      <w:r w:rsidRPr="0018003A">
        <w:rPr>
          <w:sz w:val="24"/>
          <w:szCs w:val="20"/>
        </w:rPr>
        <w:t xml:space="preserve">Umsatz: </w:t>
      </w:r>
    </w:p>
    <w:p w:rsidR="0018003A" w:rsidRPr="0018003A" w:rsidRDefault="0018003A" w:rsidP="00A62857">
      <w:pPr>
        <w:spacing w:line="360" w:lineRule="auto"/>
        <w:rPr>
          <w:sz w:val="24"/>
          <w:szCs w:val="20"/>
        </w:rPr>
      </w:pPr>
      <w:r w:rsidRPr="0018003A">
        <w:rPr>
          <w:sz w:val="24"/>
          <w:szCs w:val="20"/>
        </w:rPr>
        <w:t>Gewinn:</w:t>
      </w:r>
    </w:p>
    <w:p w:rsidR="0018003A" w:rsidRPr="00A62857" w:rsidRDefault="0018003A" w:rsidP="00A62857">
      <w:pPr>
        <w:spacing w:line="360" w:lineRule="auto"/>
        <w:rPr>
          <w:sz w:val="24"/>
          <w:szCs w:val="20"/>
        </w:rPr>
      </w:pPr>
    </w:p>
    <w:sectPr w:rsidR="0018003A" w:rsidRPr="00A628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B87C90"/>
    <w:multiLevelType w:val="hybridMultilevel"/>
    <w:tmpl w:val="B3B249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1504"/>
    <w:rsid w:val="00053DB0"/>
    <w:rsid w:val="000E555C"/>
    <w:rsid w:val="001560C5"/>
    <w:rsid w:val="0018003A"/>
    <w:rsid w:val="001A1454"/>
    <w:rsid w:val="002845A5"/>
    <w:rsid w:val="002F67F7"/>
    <w:rsid w:val="00493FBE"/>
    <w:rsid w:val="00623C4F"/>
    <w:rsid w:val="006E2704"/>
    <w:rsid w:val="006E7D83"/>
    <w:rsid w:val="008A1504"/>
    <w:rsid w:val="00971691"/>
    <w:rsid w:val="00A62857"/>
    <w:rsid w:val="00B92EE1"/>
    <w:rsid w:val="00BD7B14"/>
    <w:rsid w:val="00D24A7E"/>
    <w:rsid w:val="00F2141D"/>
    <w:rsid w:val="00FC057B"/>
    <w:rsid w:val="00FC4B42"/>
    <w:rsid w:val="00FF1D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028A"/>
  <w15:docId w15:val="{C2908C19-FCE6-4A1F-9E9A-623AC101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141D"/>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2141D"/>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F21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85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FA217F96282FD40A4FD18A84215CF34" ma:contentTypeVersion="2" ma:contentTypeDescription="Ein neues Dokument erstellen." ma:contentTypeScope="" ma:versionID="680bee6162c2a7cbc8217df31f69c662">
  <xsd:schema xmlns:xsd="http://www.w3.org/2001/XMLSchema" xmlns:xs="http://www.w3.org/2001/XMLSchema" xmlns:p="http://schemas.microsoft.com/office/2006/metadata/properties" xmlns:ns1="http://schemas.microsoft.com/sharepoint/v3" xmlns:ns2="f09986ef-a01e-454e-a0de-6c87d76a6e57" targetNamespace="http://schemas.microsoft.com/office/2006/metadata/properties" ma:root="true" ma:fieldsID="d40fe2cd9838bf6f4c3d7598c1814868" ns1:_="" ns2:_="">
    <xsd:import namespace="http://schemas.microsoft.com/sharepoint/v3"/>
    <xsd:import namespace="f09986ef-a01e-454e-a0de-6c87d76a6e5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9986ef-a01e-454e-a0de-6c87d76a6e57"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49F4FA-48BA-4DF0-9D1E-2CC0E1B5E39D}"/>
</file>

<file path=customXml/itemProps2.xml><?xml version="1.0" encoding="utf-8"?>
<ds:datastoreItem xmlns:ds="http://schemas.openxmlformats.org/officeDocument/2006/customXml" ds:itemID="{2EB5CDE1-E9C0-4015-97CF-FA5E35F5E187}"/>
</file>

<file path=customXml/itemProps3.xml><?xml version="1.0" encoding="utf-8"?>
<ds:datastoreItem xmlns:ds="http://schemas.openxmlformats.org/officeDocument/2006/customXml" ds:itemID="{FB3FC826-2985-470B-9ADF-3FE402E69501}"/>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311</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student1</dc:creator>
  <cp:lastModifiedBy>Ridder, Nina-Sophie</cp:lastModifiedBy>
  <cp:revision>20</cp:revision>
  <cp:lastPrinted>2018-04-06T11:46:00Z</cp:lastPrinted>
  <dcterms:created xsi:type="dcterms:W3CDTF">2016-04-20T09:32:00Z</dcterms:created>
  <dcterms:modified xsi:type="dcterms:W3CDTF">2019-11-13T09:54:00Z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0x010100AFA217F96282FD40A4FD18A84215CF34</vt:lpwstr>
  </property>
</Properties>
</file>